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8cbaeb80f75cc3bbefaa6ec6890024"/>
                        <pic:cNvPicPr>
                          <a:picLocks noChangeAspect="1"/>
                        </pic:cNvPicPr>
                        <pic:nvPr/>
                      </pic:nvPicPr>
                      <pic:blipFill>
                        <a:blip r:embed="rId16"/>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99.0pt;mso-position-horizontal:absolute;mso-position-vertical-relative:text;margin-top:15.8pt;mso-position-vertical:absolute;width:223.3pt;height:223.3pt;mso-wrap-distance-left:9.0pt;mso-wrap-distance-top:0.0pt;mso-wrap-distance-right:9.0pt;mso-wrap-distance-bottom:0.0pt;" stroked="false">
                <v:path textboxrect="0,0,0,0"/>
                <v:imagedata r:id="rId16" o:title=""/>
              </v:shape>
            </w:pict>
          </mc:Fallback>
        </mc:AlternateContent>
      </w:r>
      <w:r/>
    </w:p>
    <w:p>
      <w:pPr>
        <w:pStyle w:val="857"/>
        <w:rPr>
          <w:rFonts w:hint="eastAsia"/>
          <w:highlight w:val="none"/>
        </w:rPr>
      </w:pPr>
      <w:r>
        <w:rPr>
          <w:rFonts w:hint="eastAsia"/>
          <w:highlight w:val="none"/>
        </w:rPr>
      </w:r>
      <w:r/>
    </w:p>
    <w:p>
      <w:pPr>
        <w:pStyle w:val="840"/>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61"/>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睢宁县农产品加工集中区管涵、挡土墙工程</w:t>
      </w:r>
      <w:r/>
    </w:p>
    <w:p>
      <w:pPr>
        <w:pStyle w:val="842"/>
        <w:ind w:left="0" w:firstLine="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JSZC-320324-JSBD-C2026-0005</w:t>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睢宁县庆安镇人民政府</w:t>
      </w:r>
      <w:r/>
    </w:p>
    <w:p>
      <w:pPr>
        <w:jc w:val="both"/>
        <w:pageBreakBefore w:val="0"/>
        <w:spacing w:line="48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采购代理机构：江苏标达建设工程管理有限公司</w:t>
      </w:r>
      <w:bookmarkStart w:id="1" w:name="_Toc3918"/>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cs="宋体"/>
          <w:b w:val="0"/>
          <w:bCs w:val="0"/>
          <w:color w:val="auto"/>
          <w:sz w:val="32"/>
          <w:szCs w:val="32"/>
          <w:highlight w:val="none"/>
          <w:lang w:val="en-US" w:eastAsia="zh-CN"/>
        </w:rPr>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睢宁县农产品加工集中区管涵、挡土墙工程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睢宁县庆安镇人民政府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睢宁县农产品加工集中区管涵、挡土墙工程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JSZC-320324-JSBD-C2026-0005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2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eastAsia="zh-CN"/>
        </w:rPr>
        <w:t xml:space="preserve">2026年6月8日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在截止时间后提交的首次响应文件为无效文件，将被拒收。</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rPr>
          <w:highlight w:val="none"/>
        </w:rPr>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2026年6月8日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0前。</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rPr>
          <w:highlight w:val="none"/>
        </w:rPr>
      </w:r>
      <w:r/>
    </w:p>
    <w:p>
      <w:pPr>
        <w:pStyle w:val="83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2026年6月8日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首次响应文件开启地点：“苏采云”系统（网址：http://jszfcg.jsczt.cn/）“开标大厅”或进入徐州政府采购网(网址:https://czj.xz.gov.cn/zfcg/)首页，点击“苏采云”进入系统。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4"/>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1"/>
        <w:ind w:right="0" w:firstLine="480"/>
        <w:keepLines w:val="0"/>
        <w:keepNext w:val="0"/>
        <w:pageBreakBefore w:val="0"/>
        <w:spacing w:line="360" w:lineRule="auto"/>
        <w:widowControl w:val="off"/>
        <w:rPr>
          <w:rStyle w:val="1034"/>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4"/>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b/>
          <w:bCs/>
          <w:color w:val="000000"/>
          <w:sz w:val="24"/>
        </w:rPr>
        <w:t xml:space="preserve">根据苏财规[2026]1号文件有关规定，本项目预算已包含代理服务费部分，中标后代理服务费由中标人</w:t>
      </w:r>
      <w:r>
        <w:rPr>
          <w:rFonts w:hint="eastAsia" w:ascii="宋体" w:hAnsi="宋体" w:cs="宋体"/>
          <w:b/>
          <w:bCs/>
          <w:color w:val="000000"/>
          <w:sz w:val="24"/>
          <w:lang w:eastAsia="zh-CN"/>
        </w:rPr>
        <w:t xml:space="preserve">代为</w:t>
      </w:r>
      <w:r>
        <w:rPr>
          <w:rFonts w:hint="eastAsia" w:ascii="宋体" w:hAnsi="宋体" w:cs="宋体"/>
          <w:b/>
          <w:bCs/>
          <w:color w:val="000000"/>
          <w:sz w:val="24"/>
        </w:rPr>
        <w:t xml:space="preserve">支付</w:t>
      </w:r>
      <w:r>
        <w:rPr>
          <w:rFonts w:hint="eastAsia" w:ascii="宋体" w:hAnsi="宋体" w:cs="宋体"/>
          <w:b/>
          <w:bCs/>
          <w:color w:val="000000"/>
          <w:sz w:val="24"/>
        </w:rPr>
        <w:t xml:space="preserve">（</w:t>
      </w:r>
      <w:r>
        <w:rPr>
          <w:rFonts w:hint="eastAsia" w:ascii="宋体" w:hAnsi="宋体" w:cs="宋体"/>
          <w:b/>
          <w:bCs/>
          <w:color w:val="000000"/>
          <w:sz w:val="24"/>
        </w:rPr>
        <w:t xml:space="preserve">本</w:t>
      </w:r>
      <w:r>
        <w:rPr>
          <w:rFonts w:hint="eastAsia" w:ascii="宋体" w:hAnsi="宋体" w:cs="宋体"/>
          <w:b/>
          <w:bCs/>
          <w:color w:val="000000"/>
          <w:sz w:val="24"/>
        </w:rPr>
        <w:t xml:space="preserve">次</w:t>
      </w:r>
      <w:r>
        <w:rPr>
          <w:rFonts w:hint="eastAsia" w:ascii="宋体" w:hAnsi="宋体" w:cs="宋体"/>
          <w:b/>
          <w:bCs/>
          <w:color w:val="000000"/>
          <w:sz w:val="24"/>
        </w:rPr>
        <w:t xml:space="preserve">代理</w:t>
      </w:r>
      <w:r>
        <w:rPr>
          <w:rFonts w:hint="eastAsia" w:ascii="宋体" w:hAnsi="宋体" w:cs="宋体"/>
          <w:b/>
          <w:bCs/>
          <w:color w:val="000000"/>
          <w:sz w:val="24"/>
        </w:rPr>
        <w:t xml:space="preserve">服务</w:t>
      </w:r>
      <w:r>
        <w:rPr>
          <w:rFonts w:hint="eastAsia" w:ascii="宋体" w:hAnsi="宋体" w:cs="宋体"/>
          <w:b/>
          <w:bCs/>
          <w:color w:val="000000"/>
          <w:sz w:val="24"/>
        </w:rPr>
        <w:t xml:space="preserve">费</w:t>
      </w:r>
      <w:r>
        <w:rPr>
          <w:rFonts w:hint="eastAsia" w:ascii="宋体" w:hAnsi="宋体" w:cs="宋体"/>
          <w:b/>
          <w:bCs/>
          <w:color w:val="000000"/>
          <w:sz w:val="24"/>
        </w:rPr>
        <w:t xml:space="preserve">9</w:t>
      </w:r>
      <w:r>
        <w:rPr>
          <w:rFonts w:hint="eastAsia" w:ascii="宋体" w:hAnsi="宋体" w:cs="宋体"/>
          <w:b/>
          <w:bCs/>
          <w:color w:val="000000"/>
          <w:sz w:val="24"/>
        </w:rPr>
        <w:t xml:space="preserve">折</w:t>
      </w:r>
      <w:r>
        <w:rPr>
          <w:rFonts w:hint="eastAsia" w:ascii="宋体" w:hAnsi="宋体" w:cs="宋体"/>
          <w:b/>
          <w:bCs/>
          <w:color w:val="000000"/>
          <w:sz w:val="24"/>
        </w:rPr>
        <w:t xml:space="preserve">收取</w:t>
      </w:r>
      <w:r>
        <w:rPr>
          <w:rFonts w:hint="eastAsia" w:ascii="宋体" w:hAnsi="宋体" w:cs="宋体"/>
          <w:b/>
          <w:bCs/>
          <w:color w:val="000000"/>
          <w:sz w:val="24"/>
        </w:rPr>
        <w:t xml:space="preserve">）</w:t>
      </w:r>
      <w:r>
        <w:rPr>
          <w:rFonts w:hint="eastAsia" w:ascii="宋体" w:hAnsi="宋体" w:cs="宋体"/>
          <w:b/>
          <w:bCs/>
          <w:color w:val="000000"/>
          <w:sz w:val="24"/>
        </w:rPr>
        <w:t xml:space="preserve">，各投标人在投标报价时应充分考虑在内</w:t>
      </w:r>
      <w:r>
        <w:rPr>
          <w:rFonts w:hint="eastAsia" w:ascii="宋体" w:hAnsi="宋体" w:cs="宋体"/>
          <w:color w:val="000000"/>
          <w:sz w:val="24"/>
        </w:rPr>
        <w:t xml:space="preserve">。</w:t>
      </w:r>
      <w:r>
        <w:rPr>
          <w:rFonts w:hint="eastAsia" w:ascii="宋体" w:hAnsi="宋体" w:eastAsia="宋体" w:cs="宋体"/>
          <w:color w:val="auto"/>
          <w:sz w:val="24"/>
          <w:szCs w:val="24"/>
          <w:highlight w:val="none"/>
        </w:rPr>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睢宁县庆安镇人民政府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睢宁县庆安镇三闸街61号</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刘旭东</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15351668718</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0516-88300766/15722860691</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4"/>
        <w:tblW w:w="1006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75"/>
        <w:gridCol w:w="6779"/>
      </w:tblGrid>
      <w:tr>
        <w:trPr>
          <w:jc w:val="center"/>
          <w:trHeight w:val="531"/>
        </w:trPr>
        <w:tc>
          <w:tcPr>
            <w:gridSpan w:val="2"/>
            <w:tcW w:w="3285" w:type="dxa"/>
            <w:vAlign w:val="center"/>
            <w:textDirection w:val="lrTb"/>
            <w:noWrap w:val="false"/>
          </w:tcPr>
          <w:p>
            <w:pPr>
              <w:pStyle w:val="876"/>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6779" w:type="dxa"/>
            <w:vAlign w:val="center"/>
            <w:textDirection w:val="lrTb"/>
            <w:noWrap w:val="false"/>
          </w:tcPr>
          <w:p>
            <w:pPr>
              <w:pStyle w:val="876"/>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10" w:type="dxa"/>
            <w:vAlign w:val="center"/>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分）</w:t>
            </w:r>
            <w:r/>
          </w:p>
        </w:tc>
        <w:tc>
          <w:tcPr>
            <w:tcW w:w="6779" w:type="dxa"/>
            <w:vAlign w:val="center"/>
            <w:textDirection w:val="lrTb"/>
            <w:noWrap w:val="false"/>
          </w:tcPr>
          <w:p>
            <w:pPr>
              <w:pStyle w:val="876"/>
              <w:numPr>
                <w:ilvl w:val="0"/>
                <w:numId w:val="0"/>
              </w:numPr>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采用低价优先法计算，即满足磋商文件要求且最后报价最低的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的价格为磋商基准价，其价格分为满分。其他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的价格分统一按照下列公式计算：</w:t>
            </w:r>
            <w:r>
              <w:rPr>
                <w:rFonts w:hint="eastAsia" w:ascii="宋体" w:hAnsi="宋体" w:eastAsia="宋体" w:cs="宋体"/>
                <w:b/>
                <w:color w:val="000000"/>
                <w:sz w:val="24"/>
                <w:szCs w:val="24"/>
              </w:rPr>
              <w:t xml:space="preserve">磋商报价得分=（磋商基准价/最后磋商报价）×</w:t>
            </w:r>
            <w:r>
              <w:rPr>
                <w:rFonts w:hint="eastAsia" w:ascii="宋体" w:hAnsi="宋体" w:cs="宋体"/>
                <w:b/>
                <w:color w:val="000000"/>
                <w:sz w:val="24"/>
                <w:szCs w:val="24"/>
                <w:lang w:val="en-US" w:eastAsia="zh-CN"/>
              </w:rPr>
              <w:t xml:space="preserve">80</w:t>
            </w:r>
            <w:r>
              <w:rPr>
                <w:rFonts w:hint="eastAsia" w:ascii="宋体" w:hAnsi="宋体" w:eastAsia="宋体" w:cs="宋体"/>
                <w:color w:val="000000"/>
                <w:sz w:val="24"/>
                <w:szCs w:val="24"/>
              </w:rPr>
              <w:t xml:space="preserve">（得分四舍五入保留小数点后2位）</w:t>
            </w:r>
            <w:r/>
          </w:p>
        </w:tc>
      </w:tr>
      <w:tr>
        <w:trPr>
          <w:cantSplit/>
          <w:jc w:val="center"/>
          <w:trHeight w:val="1318"/>
        </w:trPr>
        <w:tc>
          <w:tcPr>
            <w:tcW w:w="1210" w:type="dxa"/>
            <w:vAlign w:val="center"/>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2075" w:type="dxa"/>
            <w:vAlign w:val="center"/>
            <w:textDirection w:val="lrTb"/>
            <w:noWrap w:val="false"/>
          </w:tcPr>
          <w:p>
            <w:pPr>
              <w:pStyle w:val="86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6779" w:type="dxa"/>
            <w:vAlign w:val="center"/>
            <w:textDirection w:val="lrTb"/>
            <w:noWrap w:val="false"/>
          </w:tcPr>
          <w:p>
            <w:pPr>
              <w:pStyle w:val="839"/>
              <w:ind w:firstLine="0"/>
              <w:jc w:val="left"/>
              <w:keepLines w:val="0"/>
              <w:keepNext w:val="0"/>
              <w:pageBreakBefore w:val="0"/>
              <w:spacing w:line="35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hAnsi="宋体" w:eastAsia="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val="en-US" w:eastAsia="zh-CN"/>
              </w:rPr>
              <w:t xml:space="preserve">管涵或河道挡土墙</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以成交通知书（或中标通知书）、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839"/>
              <w:ind w:firstLine="482"/>
              <w:jc w:val="left"/>
              <w:keepLines w:val="0"/>
              <w:keepNext w:val="0"/>
              <w:pageBreakBefore w:val="0"/>
              <w:spacing w:line="35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10" w:type="dxa"/>
            <w:vAlign w:val="center"/>
            <w:vMerge w:val="restart"/>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lang w:val="en-US" w:eastAsia="en-US"/>
              </w:rPr>
              <w:t xml:space="preserve">总体概述（</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lang w:val="en-US" w:eastAsia="en-US"/>
              </w:rPr>
              <w:t xml:space="preserve">分）</w:t>
            </w:r>
            <w:r/>
          </w:p>
        </w:tc>
        <w:tc>
          <w:tcPr>
            <w:tcW w:w="6779" w:type="dxa"/>
            <w:vAlign w:val="center"/>
            <w:textDirection w:val="lrTb"/>
            <w:noWrap w:val="false"/>
          </w:tcPr>
          <w:p>
            <w:pPr>
              <w:ind w:firstLine="480"/>
              <w:spacing w:line="360" w:lineRule="auto"/>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000000"/>
                <w:sz w:val="24"/>
                <w:szCs w:val="24"/>
                <w:lang w:val="en-US" w:eastAsia="zh-CN"/>
              </w:rPr>
              <w:t xml:space="preserve">施工组织总体设想、方案针对性及施工段划分</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highlight w:val="none"/>
                <w:lang w:val="en-US" w:eastAsia="en-US" w:bidi="ar-SA"/>
              </w:rPr>
            </w:pPr>
            <w:r>
              <w:rPr>
                <w:rStyle w:val="1040"/>
                <w:rFonts w:hint="eastAsia" w:ascii="宋体" w:hAnsi="宋体" w:eastAsia="宋体" w:cs="宋体"/>
                <w:color w:val="000000"/>
                <w:sz w:val="24"/>
                <w:szCs w:val="24"/>
              </w:rPr>
              <w:t xml:space="preserve">人员配备(</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w:t>
            </w:r>
            <w:r>
              <w:rPr>
                <w:rFonts w:hint="eastAsia" w:hAnsi="宋体" w:eastAsia="宋体" w:cs="宋体"/>
                <w:color w:val="auto"/>
                <w:sz w:val="24"/>
                <w:szCs w:val="24"/>
                <w:highlight w:val="none"/>
                <w:lang w:val="en-US" w:eastAsia="zh-CN"/>
              </w:rPr>
              <w:t xml:space="preserve">供应商</w:t>
            </w:r>
            <w:r>
              <w:rPr>
                <w:rFonts w:hint="eastAsia" w:hAnsi="宋体" w:eastAsia="宋体" w:cs="宋体"/>
                <w:color w:val="auto"/>
                <w:sz w:val="24"/>
                <w:szCs w:val="24"/>
                <w:highlight w:val="none"/>
                <w:lang w:eastAsia="zh-CN"/>
              </w:rPr>
              <w:t xml:space="preserve">提供的项目部组成主要技术入员、劳动力配置、组织机构管理、各人员岗位职责及保障措施等方面进行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lang w:val="en-US" w:eastAsia="zh-CN" w:bidi="ar-SA"/>
              </w:rPr>
            </w:pPr>
            <w:r>
              <w:rPr>
                <w:rStyle w:val="1040"/>
                <w:rFonts w:hint="eastAsia" w:ascii="宋体" w:hAnsi="宋体" w:eastAsia="宋体" w:cs="宋体"/>
                <w:color w:val="000000"/>
                <w:sz w:val="24"/>
                <w:szCs w:val="24"/>
              </w:rPr>
              <w:t xml:space="preserve">机械设备和材料投入计划(</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根据供应商响应文件中机械设备配置计划和材料投入计划进行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zh-TW" w:eastAsia="zh-TW" w:bidi="ar-SA"/>
              </w:rPr>
            </w:pPr>
            <w:r>
              <w:rPr>
                <w:rStyle w:val="1040"/>
                <w:rFonts w:hint="eastAsia" w:ascii="宋体" w:hAnsi="宋体" w:eastAsia="宋体" w:cs="宋体"/>
                <w:color w:val="000000"/>
                <w:sz w:val="24"/>
                <w:szCs w:val="24"/>
              </w:rPr>
              <w:t xml:space="preserve">施工进度计划和各阶段进度的保证措施（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供应商响应文件中施工进度计划和各阶段进度的保证措施进行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6"/>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施工质量保证措施</w:t>
            </w:r>
            <w:r>
              <w:rPr>
                <w:rStyle w:val="1040"/>
                <w:rFonts w:hint="eastAsia" w:ascii="宋体" w:hAnsi="宋体" w:eastAsia="宋体" w:cs="宋体"/>
                <w:color w:val="000000"/>
                <w:sz w:val="24"/>
                <w:szCs w:val="24"/>
                <w:lang w:eastAsia="zh-CN"/>
              </w:rPr>
              <w:t xml:space="preserve">及目标</w:t>
            </w:r>
            <w:r>
              <w:rPr>
                <w:rStyle w:val="1040"/>
                <w:rFonts w:hint="eastAsia" w:ascii="宋体" w:hAnsi="宋体" w:eastAsia="宋体" w:cs="宋体"/>
                <w:color w:val="000000"/>
                <w:sz w:val="24"/>
                <w:szCs w:val="24"/>
              </w:rPr>
              <w:t xml:space="preserve">（</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auto"/>
                <w:sz w:val="24"/>
                <w:szCs w:val="24"/>
                <w:highlight w:val="none"/>
                <w:lang w:bidi="hi-IN"/>
              </w:rPr>
              <w:t xml:space="preserve">施工质量保证措施及目标</w:t>
            </w:r>
            <w:r>
              <w:rPr>
                <w:rStyle w:val="1040"/>
                <w:rFonts w:hint="eastAsia" w:ascii="宋体" w:hAnsi="宋体" w:eastAsia="宋体" w:cs="宋体"/>
                <w:color w:val="000000"/>
                <w:sz w:val="24"/>
                <w:szCs w:val="24"/>
              </w:rPr>
              <w:t xml:space="preserve">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6"/>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安全文明施工及环境保护措施（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供应商响应文件中安全文明施工及环境保护措施进行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6"/>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关键施工技术、工艺及工程项目实施的重点、难点和解决方案（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供应商响应文件中关键施工技术、工艺及工程项目实施的重点、难点和解决方案进行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6"/>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缺陷责任期的服务方案（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rPr>
              <w:t xml:space="preserve">根据响应文件中的缺陷责任期的服务方案进行综合评</w:t>
            </w:r>
            <w:r>
              <w:rPr>
                <w:rStyle w:val="1040"/>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rPr>
        <w:t xml:space="preserve">1479771.57</w:t>
      </w:r>
      <w:r>
        <w:rPr>
          <w:rFonts w:hint="eastAsia" w:ascii="宋体" w:hAnsi="宋体" w:cs="宋体"/>
          <w:b/>
          <w:color w:val="000000"/>
          <w:sz w:val="24"/>
          <w:highlight w:val="none"/>
          <w:u w:val="single"/>
          <w:lang w:val="en-US"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w:t>
      </w:r>
      <w:bookmarkStart w:id="25" w:name="_GoBack"/>
      <w:r/>
      <w:bookmarkEnd w:id="25"/>
      <w:r>
        <w:rPr>
          <w:rFonts w:hint="eastAsia" w:ascii="宋体" w:hAnsi="宋体" w:eastAsia="宋体" w:cs="宋体"/>
          <w:color w:val="000000"/>
          <w:sz w:val="24"/>
          <w:highlight w:val="none"/>
        </w:rPr>
        <w:t xml:space="preserve">考虑完成本项目内容所涉及的包含并不限于人工费、材料费、机械费、工具设备费、税费、保险、培训、售后服务、验收、利润</w:t>
      </w:r>
      <w:r>
        <w:rPr>
          <w:rFonts w:hint="eastAsia" w:ascii="宋体" w:hAnsi="宋体" w:cs="宋体"/>
          <w:color w:val="000000"/>
          <w:sz w:val="24"/>
          <w:highlight w:val="none"/>
          <w:lang w:eastAsia="zh-CN"/>
        </w:rPr>
        <w:t xml:space="preserve">及</w:t>
      </w:r>
      <w:r>
        <w:rPr>
          <w:rFonts w:hint="eastAsia" w:ascii="宋体" w:hAnsi="宋体" w:cs="宋体"/>
          <w:b/>
          <w:bCs/>
          <w:color w:val="000000"/>
          <w:sz w:val="24"/>
          <w:highlight w:val="none"/>
          <w:lang w:eastAsia="zh-CN"/>
        </w:rPr>
        <w:t xml:space="preserve">本次项目的招标代理服务费</w:t>
      </w:r>
      <w:r>
        <w:rPr>
          <w:rFonts w:hint="eastAsia" w:ascii="宋体" w:hAnsi="宋体" w:eastAsia="宋体" w:cs="宋体"/>
          <w:color w:val="000000"/>
          <w:sz w:val="24"/>
          <w:highlight w:val="none"/>
        </w:rPr>
        <w:t xml:space="preserve">等供应商认为可能发生的相关一切费用。采购人不再支付报价以外的任何费用</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睢宁县农产品加工集中区管涵、挡土墙工程</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睢宁县庆安镇</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新建DN1500管涵三排，配套建设石材栏杆、沥青混凝土路面、挡土墙等，</w:t>
      </w:r>
      <w:r>
        <w:rPr>
          <w:rFonts w:hint="eastAsia" w:ascii="宋体" w:hAnsi="宋体" w:eastAsia="宋体" w:cs="宋体"/>
          <w:color w:val="000000"/>
          <w:sz w:val="24"/>
          <w:highlight w:val="none"/>
        </w:rPr>
        <w:t xml:space="preserve">具体详见磋商文件工程量清单</w:t>
      </w:r>
      <w:r>
        <w:rPr>
          <w:rFonts w:hint="eastAsia" w:ascii="宋体" w:hAnsi="宋体" w:cs="宋体"/>
          <w:color w:val="000000"/>
          <w:sz w:val="24"/>
          <w:highlight w:val="none"/>
          <w:lang w:eastAsia="zh-CN"/>
        </w:rPr>
        <w:t xml:space="preserve">及图纸</w:t>
      </w:r>
      <w:r>
        <w:rPr>
          <w:rFonts w:hint="eastAsia" w:ascii="宋体" w:hAnsi="宋体" w:eastAsia="宋体" w:cs="宋体"/>
          <w:color w:val="000000"/>
          <w:sz w:val="24"/>
          <w:highlight w:val="none"/>
        </w:rPr>
        <w:t xml:space="preserve">所含全部内容。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2014年《江苏省建设工程费用定额》、苏建价[2016]154号《关于建筑业实施营改增后江苏省建设工程计价依据调整的通知》、《苏建函价[2018]298号《关于建筑业增值税计价政策调整的通知》及[2018]第24号《省住房城乡建设厅关于调整建设工程按质论价等费用计取方法的公告》等。</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bCs/>
          <w:color w:val="000000"/>
          <w:sz w:val="24"/>
          <w:szCs w:val="36"/>
          <w:highlight w:val="none"/>
          <w:lang w:val="en-US" w:eastAsia="zh-CN"/>
        </w:rPr>
        <w:t xml:space="preserve">提供承诺书，格式自拟，必须提供，否则响应无效</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2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JSZC-320324-JSBD-C2026-0005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28"/>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4"/>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睢宁县农产品加工集中区管涵、挡土墙工程</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睢宁县农产品加工集中区管涵、挡土墙工程</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6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6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6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69"/>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69"/>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睢宁县农产品加工集中区管涵、挡土墙工程</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睢宁县农产品加工集中区管涵、挡土墙工程</w:t>
      </w:r>
      <w:r/>
    </w:p>
    <w:tbl>
      <w:tblPr>
        <w:tblStyle w:val="82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JSZC-320324-JSBD-C2026-0005 </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睢宁县农产品加工集中区管涵、挡土墙工程</w:t>
      </w:r>
      <w:r/>
    </w:p>
    <w:p>
      <w:pPr>
        <w:pStyle w:val="849"/>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41"/>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41"/>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睢宁县庆安镇人民政府</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睢宁县农产品加工集中区管涵、挡土墙工程</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睢宁县农产品加工集中区管涵、挡土墙工程</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睢宁县庆安镇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新建DN1500管涵三排，配套建设石材栏杆、沥青混凝土路面、挡土墙等。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管涵、挡土墙工程，具体详见磋商文件工程量清单及图纸所含全部内容。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60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计划</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财务</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合同</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 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2"/>
        <w:keepLines w:val="0"/>
        <w:keepNext w:val="0"/>
        <w:pageBreakBefore w:val="0"/>
        <w:spacing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关于付款周期的约定：</w:t>
      </w:r>
      <w:r/>
    </w:p>
    <w:p>
      <w:pPr>
        <w:pStyle w:val="871"/>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工程竣工验收合格后支付合同价款的</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w:t>
      </w:r>
      <w:r>
        <w:rPr>
          <w:rFonts w:hint="eastAsia" w:ascii="宋体" w:hAnsi="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一年后支付至结算价款的97%，</w:t>
      </w:r>
      <w:r>
        <w:rPr>
          <w:rFonts w:hint="eastAsia" w:ascii="宋体" w:hAnsi="宋体" w:eastAsia="宋体" w:cs="宋体"/>
          <w:b/>
          <w:bCs/>
          <w:color w:val="auto"/>
          <w:sz w:val="24"/>
          <w:szCs w:val="24"/>
          <w:highlight w:val="none"/>
          <w:lang w:val="en-US" w:eastAsia="zh-CN"/>
        </w:rPr>
        <w:t xml:space="preserve">剩余3%作为质量保证金，缺陷责任期满无质量和服务问题后一次性付清（无息）</w:t>
      </w:r>
      <w:r/>
    </w:p>
    <w:p>
      <w:pPr>
        <w:pStyle w:val="869"/>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69"/>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69"/>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承包人的竣工结算报告应客观且符合实际，不得虚报工程量和高估冒算，承包人送审结算报告经审计部门审核。审计费用按照睢政发【2011】5号文件执行。审减额以审计报告为准。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5820"/>
      <w:r/>
      <w:bookmarkStart w:id="4" w:name="_Toc21433"/>
      <w:r/>
      <w:bookmarkStart w:id="5" w:name="_Toc27550107"/>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8863"/>
      <w:r/>
      <w:bookmarkStart w:id="7" w:name="_Toc27550108"/>
      <w:r/>
      <w:bookmarkStart w:id="8" w:name="_Toc4885"/>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69"/>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74"/>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睢宁县农产品加工集中区管涵、挡土墙工程</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69"/>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346728"/>
      <w:r/>
      <w:bookmarkStart w:id="10" w:name="_Toc267261698"/>
      <w:r/>
      <w:bookmarkStart w:id="11" w:name="_Toc296347226"/>
      <w:r/>
      <w:bookmarkStart w:id="12" w:name="_Toc296891267"/>
      <w:r/>
      <w:bookmarkStart w:id="13" w:name="_Toc296503227"/>
      <w:r/>
      <w:bookmarkStart w:id="14" w:name="_Toc296891055"/>
      <w:r/>
      <w:bookmarkStart w:id="15" w:name="_Toc296944566"/>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69"/>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69"/>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503228"/>
      <w:r/>
      <w:bookmarkStart w:id="17" w:name="_Toc296347227"/>
      <w:r/>
      <w:bookmarkStart w:id="18" w:name="_Toc296891056"/>
      <w:r/>
      <w:bookmarkStart w:id="19" w:name="_Toc296944567"/>
      <w:r/>
      <w:bookmarkStart w:id="20" w:name="_Toc296346729"/>
      <w:r/>
      <w:bookmarkStart w:id="21" w:name="_Toc267261699"/>
      <w:r/>
      <w:bookmarkStart w:id="22" w:name="_Toc296891268"/>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69"/>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6"/>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1"/>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2"/>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6"/>
        <w:rPr>
          <w:rFonts w:hint="eastAsia"/>
          <w:highlight w:val="none"/>
          <w:lang w:val="en-US" w:eastAsia="zh-CN"/>
        </w:rPr>
      </w:pPr>
      <w:r>
        <w:rPr>
          <w:rFonts w:hint="eastAsia"/>
          <w:highlight w:val="none"/>
          <w:lang w:val="en-US" w:eastAsia="zh-CN"/>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75"/>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5"/>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5"/>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JSZC-320324-JSBD-C2026-0005</w:t>
      </w:r>
      <w:r>
        <w:rPr>
          <w:rFonts w:hint="eastAsia" w:ascii="宋体" w:hAnsi="宋体" w:eastAsia="宋体" w:cs="宋体"/>
          <w:color w:val="auto"/>
          <w:sz w:val="24"/>
          <w:szCs w:val="24"/>
          <w:highlight w:val="none"/>
        </w:rPr>
        <w:t xml:space="preserve">）要求，本供应商正式提交以下首次响应文件。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睢宁县农产品加工集中区管涵、挡土墙工程</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睢宁县农产品加工集中区管涵、挡土墙工程</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JSZC-320324-JSBD-C2026-0005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睢宁县农产品加工集中区管涵、挡土墙工程</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睢宁县农产品加工集中区管涵、挡土墙工程</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2"/>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7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睢宁县农产品加工集中区管涵、挡土墙工程</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4"/>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75"/>
        <w:rPr>
          <w:highlight w:val="none"/>
        </w:rPr>
      </w:pPr>
      <w:r>
        <w:rPr>
          <w:highlight w:val="none"/>
        </w:rPr>
      </w:r>
      <w:r/>
    </w:p>
    <w:p>
      <w:pPr>
        <w:pStyle w:val="875"/>
        <w:rPr>
          <w:highlight w:val="none"/>
        </w:rPr>
      </w:pPr>
      <w:r>
        <w:rPr>
          <w:highlight w:val="none"/>
        </w:rPr>
      </w:r>
      <w:r/>
    </w:p>
    <w:p>
      <w:pPr>
        <w:pStyle w:val="875"/>
        <w:rPr>
          <w:highlight w:val="none"/>
        </w:rPr>
      </w:pPr>
      <w:r>
        <w:rPr>
          <w:highlight w:val="none"/>
        </w:rPr>
      </w:r>
      <w:r/>
    </w:p>
    <w:p>
      <w:pPr>
        <w:pStyle w:val="875"/>
        <w:rPr>
          <w:highlight w:val="none"/>
        </w:rPr>
      </w:pPr>
      <w:r>
        <w:rPr>
          <w:highlight w:val="none"/>
        </w:rPr>
      </w:r>
      <w:r/>
    </w:p>
    <w:p>
      <w:pPr>
        <w:pStyle w:val="875"/>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8"/>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75"/>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8"/>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4"/>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3" w:name="_Toc297576122"/>
            <w:r/>
            <w:bookmarkStart w:id="24" w:name="_Toc32146561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69"/>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3"/>
      <w:r/>
      <w:bookmarkEnd w:id="24"/>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cs="宋体"/>
          <w:b/>
          <w:bCs/>
          <w:color w:val="000000"/>
          <w:sz w:val="24"/>
        </w:rPr>
        <w:t xml:space="preserve">根据苏财规[2026]1号文件有关规定，本项目预算已包含代理服务费部分，中标后代理服务费由中标人</w:t>
      </w:r>
      <w:r>
        <w:rPr>
          <w:rFonts w:hint="eastAsia" w:ascii="宋体" w:hAnsi="宋体" w:cs="宋体"/>
          <w:b/>
          <w:bCs/>
          <w:color w:val="000000"/>
          <w:sz w:val="24"/>
          <w:lang w:eastAsia="zh-CN"/>
        </w:rPr>
        <w:t xml:space="preserve">代为</w:t>
      </w:r>
      <w:r>
        <w:rPr>
          <w:rFonts w:hint="eastAsia" w:ascii="宋体" w:hAnsi="宋体" w:cs="宋体"/>
          <w:b/>
          <w:bCs/>
          <w:color w:val="000000"/>
          <w:sz w:val="24"/>
        </w:rPr>
        <w:t xml:space="preserve">支付</w:t>
      </w:r>
      <w:r>
        <w:rPr>
          <w:rFonts w:hint="eastAsia" w:ascii="宋体" w:hAnsi="宋体" w:cs="宋体"/>
          <w:b/>
          <w:bCs/>
          <w:color w:val="000000"/>
          <w:sz w:val="24"/>
        </w:rPr>
        <w:t xml:space="preserve">（</w:t>
      </w:r>
      <w:r>
        <w:rPr>
          <w:rFonts w:hint="eastAsia" w:ascii="宋体" w:hAnsi="宋体" w:cs="宋体"/>
          <w:b/>
          <w:bCs/>
          <w:color w:val="000000"/>
          <w:sz w:val="24"/>
        </w:rPr>
        <w:t xml:space="preserve">本</w:t>
      </w:r>
      <w:r>
        <w:rPr>
          <w:rFonts w:hint="eastAsia" w:ascii="宋体" w:hAnsi="宋体" w:cs="宋体"/>
          <w:b/>
          <w:bCs/>
          <w:color w:val="000000"/>
          <w:sz w:val="24"/>
        </w:rPr>
        <w:t xml:space="preserve">次</w:t>
      </w:r>
      <w:r>
        <w:rPr>
          <w:rFonts w:hint="eastAsia" w:ascii="宋体" w:hAnsi="宋体" w:cs="宋体"/>
          <w:b/>
          <w:bCs/>
          <w:color w:val="000000"/>
          <w:sz w:val="24"/>
        </w:rPr>
        <w:t xml:space="preserve">代理</w:t>
      </w:r>
      <w:r>
        <w:rPr>
          <w:rFonts w:hint="eastAsia" w:ascii="宋体" w:hAnsi="宋体" w:cs="宋体"/>
          <w:b/>
          <w:bCs/>
          <w:color w:val="000000"/>
          <w:sz w:val="24"/>
        </w:rPr>
        <w:t xml:space="preserve">服务</w:t>
      </w:r>
      <w:r>
        <w:rPr>
          <w:rFonts w:hint="eastAsia" w:ascii="宋体" w:hAnsi="宋体" w:cs="宋体"/>
          <w:b/>
          <w:bCs/>
          <w:color w:val="000000"/>
          <w:sz w:val="24"/>
        </w:rPr>
        <w:t xml:space="preserve">费</w:t>
      </w:r>
      <w:r>
        <w:rPr>
          <w:rFonts w:hint="eastAsia" w:ascii="宋体" w:hAnsi="宋体" w:cs="宋体"/>
          <w:b/>
          <w:bCs/>
          <w:color w:val="000000"/>
          <w:sz w:val="24"/>
        </w:rPr>
        <w:t xml:space="preserve">9</w:t>
      </w:r>
      <w:r>
        <w:rPr>
          <w:rFonts w:hint="eastAsia" w:ascii="宋体" w:hAnsi="宋体" w:cs="宋体"/>
          <w:b/>
          <w:bCs/>
          <w:color w:val="000000"/>
          <w:sz w:val="24"/>
        </w:rPr>
        <w:t xml:space="preserve">折</w:t>
      </w:r>
      <w:r>
        <w:rPr>
          <w:rFonts w:hint="eastAsia" w:ascii="宋体" w:hAnsi="宋体" w:cs="宋体"/>
          <w:b/>
          <w:bCs/>
          <w:color w:val="000000"/>
          <w:sz w:val="24"/>
        </w:rPr>
        <w:t xml:space="preserve">收取</w:t>
      </w:r>
      <w:r>
        <w:rPr>
          <w:rFonts w:hint="eastAsia" w:ascii="宋体" w:hAnsi="宋体" w:cs="宋体"/>
          <w:b/>
          <w:bCs/>
          <w:color w:val="000000"/>
          <w:sz w:val="24"/>
        </w:rPr>
        <w:t xml:space="preserve">）</w:t>
      </w:r>
      <w:r>
        <w:rPr>
          <w:rFonts w:hint="eastAsia" w:ascii="宋体" w:hAnsi="宋体" w:cs="宋体"/>
          <w:b/>
          <w:bCs/>
          <w:color w:val="000000"/>
          <w:sz w:val="24"/>
        </w:rPr>
        <w:t xml:space="preserve">，各投标人在投标报价时应充分考虑在内</w:t>
      </w:r>
      <w:r>
        <w:rPr>
          <w:rFonts w:hint="eastAsia" w:ascii="宋体" w:hAnsi="宋体" w:cs="宋体"/>
          <w:color w:val="000000"/>
          <w:sz w:val="24"/>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1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5"/>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name w:val="Heading 3"/>
    <w:basedOn w:val="813"/>
    <w:next w:val="813"/>
    <w:link w:val="867"/>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0"/>
    <w:qFormat/>
    <w:pPr>
      <w:keepLines/>
      <w:keepNext/>
      <w:spacing w:before="280" w:after="290" w:line="372" w:lineRule="auto"/>
      <w:outlineLvl w:val="3"/>
    </w:pPr>
    <w:rPr>
      <w:rFonts w:ascii="Cambria" w:hAnsi="Cambria"/>
      <w:b/>
      <w:bCs/>
      <w:sz w:val="28"/>
      <w:szCs w:val="28"/>
    </w:rPr>
  </w:style>
  <w:style w:type="paragraph" w:styleId="818">
    <w:name w:val="Heading 5"/>
    <w:basedOn w:val="813"/>
    <w:next w:val="813"/>
    <w:uiPriority w:val="0"/>
    <w:qFormat/>
    <w:pPr>
      <w:keepLines/>
      <w:keepNext/>
      <w:spacing w:before="280" w:after="290" w:line="372" w:lineRule="auto"/>
      <w:outlineLvl w:val="4"/>
    </w:pPr>
    <w:rPr>
      <w:b/>
      <w:bCs/>
      <w:sz w:val="28"/>
      <w:szCs w:val="28"/>
    </w:rPr>
  </w:style>
  <w:style w:type="paragraph" w:styleId="819">
    <w:name w:val="Heading 6"/>
    <w:basedOn w:val="813"/>
    <w:next w:val="813"/>
    <w:link w:val="889"/>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1"/>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2"/>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index 5"/>
    <w:basedOn w:val="813"/>
    <w:next w:val="813"/>
    <w:uiPriority w:val="0"/>
    <w:qFormat/>
    <w:pPr>
      <w:ind w:left="798"/>
    </w:pPr>
    <w:rPr>
      <w:rFonts w:ascii="Calibri" w:hAnsi="Calibri"/>
    </w:rPr>
  </w:style>
  <w:style w:type="paragraph" w:styleId="828">
    <w:name w:val="Body Text"/>
    <w:basedOn w:val="813"/>
    <w:next w:val="829"/>
    <w:uiPriority w:val="99"/>
    <w:qFormat/>
    <w:pPr>
      <w:spacing w:after="120"/>
    </w:pPr>
    <w:rPr>
      <w:rFonts w:ascii="Calibri" w:hAnsi="Calibri"/>
    </w:rPr>
  </w:style>
  <w:style w:type="paragraph" w:styleId="829" w:customStyle="1">
    <w:name w:val="一级条标题"/>
    <w:basedOn w:val="830"/>
    <w:next w:val="8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3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文本缩进1"/>
    <w:basedOn w:val="833"/>
    <w:next w:val="835"/>
    <w:uiPriority w:val="0"/>
    <w:qFormat/>
    <w:pPr>
      <w:ind w:left="420"/>
      <w:spacing w:after="120"/>
    </w:pPr>
  </w:style>
  <w:style w:type="paragraph" w:styleId="833" w:customStyle="1">
    <w:name w:val="正文11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标题 21"/>
    <w:basedOn w:val="831"/>
    <w:next w:val="83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5" w:customStyle="1">
    <w:name w:val="寄信人地址1"/>
    <w:basedOn w:val="836"/>
    <w:uiPriority w:val="0"/>
    <w:qFormat/>
    <w:rPr>
      <w:rFonts w:ascii="Arial" w:hAnsi="Arial" w:eastAsia="Arial"/>
    </w:rPr>
  </w:style>
  <w:style w:type="paragraph" w:styleId="836" w:customStyle="1">
    <w:name w:val="正文12"/>
    <w:next w:val="834"/>
    <w:uiPriority w:val="0"/>
    <w:qFormat/>
    <w:rPr>
      <w:rFonts w:hint="default" w:ascii="Times New Roman" w:hAnsi="Times New Roman" w:eastAsia="宋体" w:cs="Times New Roman"/>
      <w:lang w:val="en-US" w:eastAsia="zh-CN" w:bidi="ar-SA"/>
    </w:rPr>
  </w:style>
  <w:style w:type="paragraph" w:styleId="837" w:customStyle="1">
    <w:name w:val="正文1"/>
    <w:basedOn w:val="831"/>
    <w:next w:val="838"/>
    <w:uiPriority w:val="0"/>
    <w:qFormat/>
    <w:pPr>
      <w:jc w:val="left"/>
      <w:spacing w:line="360" w:lineRule="atLeast"/>
    </w:pPr>
    <w:rPr>
      <w:rFonts w:ascii="宋体" w:hAnsiTheme="minorHAnsi" w:eastAsiaTheme="minorEastAsia" w:cstheme="minorBidi"/>
      <w:sz w:val="24"/>
      <w:szCs w:val="20"/>
    </w:rPr>
  </w:style>
  <w:style w:type="paragraph" w:styleId="838" w:customStyle="1">
    <w:name w:val="正文文本1"/>
    <w:basedOn w:val="831"/>
    <w:next w:val="829"/>
    <w:uiPriority w:val="0"/>
    <w:qFormat/>
    <w:pPr>
      <w:spacing w:after="120"/>
    </w:pPr>
  </w:style>
  <w:style w:type="paragraph" w:styleId="839" w:customStyle="1">
    <w:name w:val="段"/>
    <w:basedOn w:val="837"/>
    <w:next w:val="837"/>
    <w:uiPriority w:val="0"/>
    <w:qFormat/>
    <w:pPr>
      <w:ind w:firstLine="200"/>
      <w:widowControl/>
    </w:pPr>
    <w:rPr>
      <w:sz w:val="20"/>
    </w:rPr>
  </w:style>
  <w:style w:type="paragraph" w:styleId="840">
    <w:name w:val="Body Text Indent"/>
    <w:basedOn w:val="813"/>
    <w:next w:val="813"/>
    <w:uiPriority w:val="0"/>
    <w:qFormat/>
    <w:pPr>
      <w:ind w:left="420"/>
      <w:spacing w:after="120"/>
    </w:pPr>
    <w:rPr>
      <w:rFonts w:ascii="Calibri" w:hAnsi="Calibri"/>
    </w:rPr>
  </w:style>
  <w:style w:type="paragraph" w:styleId="841">
    <w:name w:val="Block Text"/>
    <w:basedOn w:val="813"/>
    <w:uiPriority w:val="99"/>
    <w:unhideWhenUsed/>
    <w:qFormat/>
    <w:pPr>
      <w:ind w:left="1440" w:right="1440"/>
      <w:spacing w:after="120"/>
    </w:pPr>
  </w:style>
  <w:style w:type="paragraph" w:styleId="842">
    <w:name w:val="index 4"/>
    <w:basedOn w:val="813"/>
    <w:next w:val="813"/>
    <w:uiPriority w:val="0"/>
    <w:qFormat/>
    <w:pPr>
      <w:ind w:left="600"/>
    </w:pPr>
  </w:style>
  <w:style w:type="paragraph" w:styleId="843">
    <w:name w:val="toc 5"/>
    <w:basedOn w:val="813"/>
    <w:next w:val="813"/>
    <w:uiPriority w:val="39"/>
    <w:unhideWhenUsed/>
    <w:qFormat/>
    <w:pPr>
      <w:ind w:left="1134" w:right="0" w:firstLine="0"/>
      <w:spacing w:after="57"/>
    </w:pPr>
  </w:style>
  <w:style w:type="paragraph" w:styleId="844">
    <w:name w:val="toc 3"/>
    <w:basedOn w:val="813"/>
    <w:next w:val="813"/>
    <w:uiPriority w:val="39"/>
    <w:unhideWhenUsed/>
    <w:qFormat/>
    <w:pPr>
      <w:ind w:left="567" w:right="0" w:firstLine="0"/>
      <w:spacing w:after="57"/>
    </w:pPr>
  </w:style>
  <w:style w:type="paragraph" w:styleId="845">
    <w:name w:val="toc 8"/>
    <w:basedOn w:val="813"/>
    <w:next w:val="813"/>
    <w:uiPriority w:val="39"/>
    <w:unhideWhenUsed/>
    <w:qFormat/>
    <w:pPr>
      <w:ind w:left="1984" w:right="0" w:firstLine="0"/>
      <w:spacing w:after="57"/>
    </w:pPr>
  </w:style>
  <w:style w:type="paragraph" w:styleId="846">
    <w:name w:val="endnote text"/>
    <w:basedOn w:val="813"/>
    <w:link w:val="1030"/>
    <w:uiPriority w:val="99"/>
    <w:semiHidden/>
    <w:unhideWhenUsed/>
    <w:qFormat/>
    <w:pPr>
      <w:spacing w:after="0" w:line="240" w:lineRule="auto"/>
    </w:pPr>
    <w:rPr>
      <w:sz w:val="20"/>
    </w:rPr>
  </w:style>
  <w:style w:type="paragraph" w:styleId="847">
    <w:name w:val="Footer"/>
    <w:basedOn w:val="813"/>
    <w:uiPriority w:val="0"/>
    <w:qFormat/>
    <w:pPr>
      <w:jc w:val="left"/>
      <w:tabs>
        <w:tab w:val="center" w:pos="4153" w:leader="none"/>
        <w:tab w:val="right" w:pos="8306" w:leader="none"/>
      </w:tabs>
    </w:pPr>
    <w:rPr>
      <w:sz w:val="18"/>
      <w:szCs w:val="18"/>
    </w:rPr>
  </w:style>
  <w:style w:type="paragraph" w:styleId="848">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toc 1"/>
    <w:basedOn w:val="813"/>
    <w:next w:val="813"/>
    <w:uiPriority w:val="39"/>
    <w:qFormat/>
  </w:style>
  <w:style w:type="paragraph" w:styleId="850">
    <w:name w:val="toc 4"/>
    <w:basedOn w:val="813"/>
    <w:next w:val="813"/>
    <w:uiPriority w:val="39"/>
    <w:unhideWhenUsed/>
    <w:qFormat/>
    <w:pPr>
      <w:ind w:left="850" w:right="0" w:firstLine="0"/>
      <w:spacing w:after="57"/>
    </w:pPr>
  </w:style>
  <w:style w:type="paragraph" w:styleId="851">
    <w:name w:val="Subtitle"/>
    <w:basedOn w:val="813"/>
    <w:next w:val="813"/>
    <w:link w:val="896"/>
    <w:uiPriority w:val="11"/>
    <w:qFormat/>
    <w:pPr>
      <w:spacing w:before="200" w:after="200"/>
    </w:pPr>
    <w:rPr>
      <w:sz w:val="24"/>
      <w:szCs w:val="24"/>
    </w:rPr>
  </w:style>
  <w:style w:type="paragraph" w:styleId="852">
    <w:name w:val="footnote text"/>
    <w:basedOn w:val="813"/>
    <w:next w:val="827"/>
    <w:link w:val="1029"/>
    <w:uiPriority w:val="99"/>
    <w:semiHidden/>
    <w:unhideWhenUsed/>
    <w:qFormat/>
    <w:pPr>
      <w:spacing w:after="40" w:line="240" w:lineRule="auto"/>
    </w:pPr>
    <w:rPr>
      <w:sz w:val="18"/>
    </w:rPr>
  </w:style>
  <w:style w:type="paragraph" w:styleId="853">
    <w:name w:val="toc 6"/>
    <w:basedOn w:val="813"/>
    <w:next w:val="813"/>
    <w:uiPriority w:val="39"/>
    <w:unhideWhenUsed/>
    <w:qFormat/>
    <w:pPr>
      <w:ind w:left="1417" w:right="0" w:firstLine="0"/>
      <w:spacing w:after="57"/>
    </w:pPr>
  </w:style>
  <w:style w:type="paragraph" w:styleId="854">
    <w:name w:val="table of figures"/>
    <w:basedOn w:val="813"/>
    <w:next w:val="813"/>
    <w:uiPriority w:val="99"/>
    <w:unhideWhenUsed/>
    <w:qFormat/>
    <w:pPr>
      <w:spacing w:after="0" w:afterAutospacing="0"/>
    </w:pPr>
  </w:style>
  <w:style w:type="paragraph" w:styleId="855">
    <w:name w:val="toc 2"/>
    <w:basedOn w:val="813"/>
    <w:next w:val="813"/>
    <w:uiPriority w:val="39"/>
    <w:unhideWhenUsed/>
    <w:qFormat/>
    <w:pPr>
      <w:ind w:left="283" w:right="0" w:firstLine="0"/>
      <w:spacing w:after="57"/>
    </w:pPr>
  </w:style>
  <w:style w:type="paragraph" w:styleId="856">
    <w:name w:val="toc 9"/>
    <w:basedOn w:val="813"/>
    <w:next w:val="813"/>
    <w:uiPriority w:val="39"/>
    <w:unhideWhenUsed/>
    <w:qFormat/>
    <w:pPr>
      <w:ind w:left="2268" w:right="0" w:firstLine="0"/>
      <w:spacing w:after="57"/>
    </w:pPr>
  </w:style>
  <w:style w:type="paragraph" w:styleId="857">
    <w:name w:val="Body Text 2"/>
    <w:basedOn w:val="813"/>
    <w:uiPriority w:val="0"/>
    <w:qFormat/>
    <w:pPr>
      <w:jc w:val="center"/>
      <w:widowControl/>
    </w:pPr>
    <w:rPr>
      <w:rFonts w:ascii="楷体_GB2312" w:eastAsia="楷体_GB2312"/>
      <w:sz w:val="28"/>
      <w:szCs w:val="28"/>
    </w:rPr>
  </w:style>
  <w:style w:type="paragraph" w:styleId="858">
    <w:name w:val="Normal (Web)"/>
    <w:basedOn w:val="813"/>
    <w:uiPriority w:val="99"/>
    <w:qFormat/>
    <w:pPr>
      <w:jc w:val="left"/>
      <w:spacing w:before="100" w:beforeAutospacing="1" w:after="100" w:afterAutospacing="1"/>
      <w:widowControl/>
    </w:pPr>
    <w:rPr>
      <w:rFonts w:ascii="宋体" w:hAnsi="宋体" w:cs="宋体"/>
      <w:sz w:val="24"/>
    </w:rPr>
  </w:style>
  <w:style w:type="paragraph" w:styleId="859">
    <w:name w:val="Title"/>
    <w:basedOn w:val="813"/>
    <w:next w:val="813"/>
    <w:link w:val="895"/>
    <w:uiPriority w:val="10"/>
    <w:qFormat/>
    <w:pPr>
      <w:contextualSpacing/>
      <w:spacing w:before="300" w:after="200"/>
    </w:pPr>
    <w:rPr>
      <w:sz w:val="48"/>
      <w:szCs w:val="48"/>
    </w:rPr>
  </w:style>
  <w:style w:type="paragraph" w:styleId="860">
    <w:name w:val="Body Text First Indent"/>
    <w:basedOn w:val="828"/>
    <w:next w:val="861"/>
    <w:uiPriority w:val="0"/>
    <w:qFormat/>
    <w:pPr>
      <w:ind w:firstLine="420"/>
    </w:pPr>
  </w:style>
  <w:style w:type="paragraph" w:styleId="861">
    <w:name w:val="Body Text First Indent 2"/>
    <w:basedOn w:val="840"/>
    <w:next w:val="860"/>
    <w:uiPriority w:val="0"/>
    <w:qFormat/>
    <w:pPr>
      <w:ind w:firstLine="420"/>
      <w:spacing w:line="360" w:lineRule="auto"/>
    </w:pPr>
    <w:rPr>
      <w:color w:val="000000"/>
      <w:sz w:val="20"/>
    </w:rPr>
  </w:style>
  <w:style w:type="table" w:styleId="862">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basedOn w:val="823"/>
    <w:uiPriority w:val="99"/>
    <w:semiHidden/>
    <w:unhideWhenUsed/>
    <w:qFormat/>
    <w:rPr>
      <w:vertAlign w:val="superscript"/>
    </w:rPr>
  </w:style>
  <w:style w:type="character" w:styleId="864">
    <w:name w:val="page number"/>
    <w:basedOn w:val="823"/>
    <w:uiPriority w:val="0"/>
    <w:qFormat/>
  </w:style>
  <w:style w:type="character" w:styleId="865">
    <w:name w:val="Hyperlink"/>
    <w:uiPriority w:val="99"/>
    <w:unhideWhenUsed/>
    <w:qFormat/>
    <w:rPr>
      <w:color w:val="0563c1" w:themeColor="hyperlink"/>
      <w:u w:val="single"/>
      <w14:textFill>
        <w14:solidFill>
          <w14:schemeClr w14:val="hlink"/>
        </w14:solidFill>
      </w14:textFill>
    </w:rPr>
  </w:style>
  <w:style w:type="character" w:styleId="866">
    <w:name w:val="footnote reference"/>
    <w:basedOn w:val="823"/>
    <w:uiPriority w:val="99"/>
    <w:unhideWhenUsed/>
    <w:qFormat/>
    <w:rPr>
      <w:vertAlign w:val="superscript"/>
    </w:rPr>
  </w:style>
  <w:style w:type="character" w:styleId="867" w:customStyle="1">
    <w:name w:val="Heading 3 Char"/>
    <w:basedOn w:val="823"/>
    <w:link w:val="816"/>
    <w:uiPriority w:val="9"/>
    <w:qFormat/>
    <w:rPr>
      <w:rFonts w:ascii="Arial" w:hAnsi="Arial" w:eastAsia="Arial" w:cs="Arial"/>
      <w:sz w:val="30"/>
      <w:szCs w:val="30"/>
    </w:rPr>
  </w:style>
  <w:style w:type="paragraph" w:styleId="868" w:customStyle="1">
    <w:name w:val="文本块11"/>
    <w:basedOn w:val="836"/>
    <w:uiPriority w:val="0"/>
    <w:qFormat/>
    <w:pPr>
      <w:ind w:left="256" w:right="6" w:firstLine="624"/>
    </w:pPr>
    <w:rPr>
      <w:rFonts w:ascii="Arial" w:hAnsi="Arial" w:eastAsia="仿宋"/>
      <w:sz w:val="28"/>
    </w:rPr>
  </w:style>
  <w:style w:type="paragraph" w:styleId="869" w:customStyle="1">
    <w:name w:val="正文11"/>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customStyle="1">
    <w:name w:val="标题 111"/>
    <w:basedOn w:val="869"/>
    <w:next w:val="869"/>
    <w:uiPriority w:val="0"/>
    <w:qFormat/>
    <w:pPr>
      <w:jc w:val="center"/>
      <w:keepLines/>
      <w:keepNext/>
      <w:spacing w:line="578" w:lineRule="auto"/>
      <w:outlineLvl w:val="0"/>
    </w:pPr>
    <w:rPr>
      <w:rFonts w:eastAsia="新宋体"/>
      <w:b/>
      <w:bCs/>
      <w:sz w:val="30"/>
      <w:szCs w:val="44"/>
    </w:rPr>
  </w:style>
  <w:style w:type="paragraph" w:styleId="871" w:customStyle="1">
    <w:name w:val="文本块1"/>
    <w:basedOn w:val="831"/>
    <w:uiPriority w:val="0"/>
    <w:qFormat/>
    <w:pPr>
      <w:ind w:left="420" w:right="33"/>
      <w:jc w:val="left"/>
    </w:pPr>
    <w:rPr>
      <w:rFonts w:ascii="Times New Roman" w:hAnsi="Times New Roman" w:eastAsia="宋体"/>
      <w:sz w:val="24"/>
      <w:szCs w:val="20"/>
    </w:rPr>
  </w:style>
  <w:style w:type="paragraph" w:styleId="872" w:customStyle="1">
    <w:name w:val="脚注文本1"/>
    <w:basedOn w:val="837"/>
    <w:next w:val="873"/>
    <w:uiPriority w:val="0"/>
    <w:qFormat/>
    <w:pPr>
      <w:jc w:val="left"/>
    </w:pPr>
    <w:rPr>
      <w:rFonts w:ascii="宋体" w:hAnsi="Arial" w:eastAsia="Times New Roman"/>
      <w:sz w:val="18"/>
      <w:szCs w:val="18"/>
    </w:rPr>
  </w:style>
  <w:style w:type="paragraph" w:styleId="873" w:customStyle="1">
    <w:name w:val="索引 51"/>
    <w:basedOn w:val="831"/>
    <w:next w:val="837"/>
    <w:uiPriority w:val="0"/>
    <w:qFormat/>
    <w:pPr>
      <w:ind w:left="800"/>
    </w:pPr>
    <w:rPr>
      <w:rFonts w:ascii="Calibri" w:hAnsi="Calibri"/>
      <w:sz w:val="22"/>
      <w:szCs w:val="22"/>
    </w:rPr>
  </w:style>
  <w:style w:type="paragraph" w:styleId="874" w:customStyle="1">
    <w:name w:val="目录 11"/>
    <w:basedOn w:val="836"/>
    <w:next w:val="836"/>
    <w:uiPriority w:val="0"/>
    <w:qFormat/>
    <w:pPr>
      <w:jc w:val="left"/>
      <w:spacing w:before="120" w:after="120"/>
    </w:pPr>
    <w:rPr>
      <w:rFonts w:ascii="Calibri" w:hAnsi="Calibri"/>
      <w:b/>
      <w:bCs/>
      <w:caps/>
      <w:sz w:val="20"/>
      <w:szCs w:val="20"/>
    </w:rPr>
  </w:style>
  <w:style w:type="paragraph" w:styleId="875" w:customStyle="1">
    <w:name w:val="样式 首行缩进:  2 字符"/>
    <w:basedOn w:val="813"/>
    <w:uiPriority w:val="99"/>
    <w:qFormat/>
    <w:pPr>
      <w:ind w:firstLine="560"/>
    </w:pPr>
    <w:rPr>
      <w:sz w:val="24"/>
    </w:rPr>
  </w:style>
  <w:style w:type="paragraph" w:styleId="876" w:customStyle="1">
    <w:name w:val="正文112"/>
    <w:next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首行缩进1"/>
    <w:basedOn w:val="878"/>
    <w:next w:val="879"/>
    <w:uiPriority w:val="0"/>
    <w:qFormat/>
    <w:pPr>
      <w:ind w:firstLine="420"/>
      <w:spacing w:after="120" w:line="240" w:lineRule="auto"/>
    </w:pPr>
    <w:rPr>
      <w:rFonts w:eastAsia="宋体"/>
      <w:sz w:val="21"/>
    </w:rPr>
  </w:style>
  <w:style w:type="paragraph" w:styleId="878" w:customStyle="1">
    <w:name w:val="正文文本11"/>
    <w:basedOn w:val="836"/>
    <w:next w:val="831"/>
    <w:uiPriority w:val="0"/>
    <w:qFormat/>
    <w:rPr>
      <w:rFonts w:ascii="仿宋_GB2312" w:eastAsia="仿宋_GB2312"/>
      <w:color w:val="000000"/>
      <w:sz w:val="24"/>
      <w:u w:val="single"/>
    </w:rPr>
  </w:style>
  <w:style w:type="paragraph" w:styleId="879" w:customStyle="1">
    <w:name w:val="正文首行缩进 211"/>
    <w:basedOn w:val="880"/>
    <w:next w:val="876"/>
    <w:uiPriority w:val="0"/>
    <w:qFormat/>
    <w:pPr>
      <w:ind w:firstLine="420"/>
    </w:pPr>
    <w:rPr>
      <w:sz w:val="24"/>
    </w:rPr>
  </w:style>
  <w:style w:type="paragraph" w:styleId="880" w:customStyle="1">
    <w:name w:val="正文文本缩进11"/>
    <w:basedOn w:val="876"/>
    <w:next w:val="876"/>
    <w:uiPriority w:val="0"/>
    <w:qFormat/>
    <w:pPr>
      <w:ind w:firstLine="425"/>
      <w:spacing w:line="360" w:lineRule="auto"/>
    </w:pPr>
  </w:style>
  <w:style w:type="paragraph" w:styleId="881" w:customStyle="1">
    <w:name w:val="正文首行缩进11"/>
    <w:basedOn w:val="838"/>
    <w:next w:val="879"/>
    <w:uiPriority w:val="0"/>
    <w:qFormat/>
    <w:pPr>
      <w:ind w:firstLine="420"/>
    </w:pPr>
    <w:rPr>
      <w:rFonts w:ascii="仿宋_GB2312" w:hAnsi="Times New Roman" w:eastAsia="仿宋_GB2312"/>
      <w:sz w:val="30"/>
      <w:szCs w:val="30"/>
    </w:rPr>
  </w:style>
  <w:style w:type="paragraph" w:styleId="882" w:customStyle="1">
    <w:name w:val="正文首行缩进 22"/>
    <w:basedOn w:val="883"/>
    <w:next w:val="876"/>
    <w:uiPriority w:val="0"/>
    <w:qFormat/>
    <w:pPr>
      <w:ind w:left="0" w:firstLine="420"/>
      <w:spacing w:after="0" w:line="360" w:lineRule="auto"/>
    </w:pPr>
    <w:rPr>
      <w:rFonts w:ascii="宋体" w:hAnsi="宋体"/>
      <w:sz w:val="20"/>
      <w:szCs w:val="20"/>
    </w:rPr>
  </w:style>
  <w:style w:type="paragraph" w:styleId="883" w:customStyle="1">
    <w:name w:val="正文文本缩进2"/>
    <w:basedOn w:val="876"/>
    <w:uiPriority w:val="0"/>
    <w:qFormat/>
    <w:pPr>
      <w:ind w:left="420"/>
      <w:spacing w:after="120"/>
    </w:pPr>
  </w:style>
  <w:style w:type="paragraph" w:styleId="884" w:customStyle="1">
    <w:name w:val="标题 41"/>
    <w:basedOn w:val="837"/>
    <w:next w:val="869"/>
    <w:uiPriority w:val="9"/>
    <w:unhideWhenUsed/>
    <w:qFormat/>
    <w:pPr>
      <w:keepLines/>
      <w:keepNext/>
      <w:spacing w:before="320"/>
      <w:outlineLvl w:val="3"/>
    </w:pPr>
    <w:rPr>
      <w:rFonts w:ascii="Arial" w:hAnsi="Arial" w:eastAsia="Arial" w:cs="Arial"/>
      <w:b/>
      <w:bCs/>
      <w:sz w:val="26"/>
      <w:szCs w:val="26"/>
    </w:rPr>
  </w:style>
  <w:style w:type="character" w:styleId="885" w:customStyle="1">
    <w:name w:val="Heading 1 Char"/>
    <w:basedOn w:val="823"/>
    <w:link w:val="814"/>
    <w:uiPriority w:val="9"/>
    <w:qFormat/>
    <w:rPr>
      <w:rFonts w:ascii="Arial" w:hAnsi="Arial" w:eastAsia="Arial" w:cs="Arial"/>
      <w:sz w:val="40"/>
      <w:szCs w:val="40"/>
    </w:rPr>
  </w:style>
  <w:style w:type="character" w:styleId="886" w:customStyle="1">
    <w:name w:val="Heading 2 Char"/>
    <w:basedOn w:val="823"/>
    <w:uiPriority w:val="9"/>
    <w:qFormat/>
    <w:rPr>
      <w:rFonts w:ascii="Arial" w:hAnsi="Arial" w:eastAsia="Arial" w:cs="Arial"/>
      <w:sz w:val="34"/>
    </w:rPr>
  </w:style>
  <w:style w:type="character" w:styleId="887" w:customStyle="1">
    <w:name w:val="Heading 4 Char"/>
    <w:basedOn w:val="823"/>
    <w:uiPriority w:val="9"/>
    <w:qFormat/>
    <w:rPr>
      <w:rFonts w:ascii="Arial" w:hAnsi="Arial" w:eastAsia="Arial" w:cs="Arial"/>
      <w:b/>
      <w:bCs/>
      <w:sz w:val="26"/>
      <w:szCs w:val="26"/>
    </w:rPr>
  </w:style>
  <w:style w:type="character" w:styleId="888" w:customStyle="1">
    <w:name w:val="Heading 5 Char"/>
    <w:basedOn w:val="823"/>
    <w:uiPriority w:val="9"/>
    <w:qFormat/>
    <w:rPr>
      <w:rFonts w:ascii="Arial" w:hAnsi="Arial" w:eastAsia="Arial" w:cs="Arial"/>
      <w:b/>
      <w:bCs/>
      <w:sz w:val="24"/>
      <w:szCs w:val="24"/>
    </w:rPr>
  </w:style>
  <w:style w:type="character" w:styleId="889" w:customStyle="1">
    <w:name w:val="Heading 6 Char"/>
    <w:basedOn w:val="823"/>
    <w:link w:val="819"/>
    <w:uiPriority w:val="9"/>
    <w:qFormat/>
    <w:rPr>
      <w:rFonts w:ascii="Arial" w:hAnsi="Arial" w:eastAsia="Arial" w:cs="Arial"/>
      <w:b/>
      <w:bCs/>
      <w:sz w:val="22"/>
      <w:szCs w:val="22"/>
    </w:rPr>
  </w:style>
  <w:style w:type="character" w:styleId="890" w:customStyle="1">
    <w:name w:val="Heading 7 Char"/>
    <w:basedOn w:val="823"/>
    <w:link w:val="820"/>
    <w:uiPriority w:val="9"/>
    <w:qFormat/>
    <w:rPr>
      <w:rFonts w:ascii="Arial" w:hAnsi="Arial" w:eastAsia="Arial" w:cs="Arial"/>
      <w:b/>
      <w:bCs/>
      <w:i/>
      <w:iCs/>
      <w:sz w:val="22"/>
      <w:szCs w:val="22"/>
    </w:rPr>
  </w:style>
  <w:style w:type="character" w:styleId="891" w:customStyle="1">
    <w:name w:val="Heading 8 Char"/>
    <w:basedOn w:val="823"/>
    <w:link w:val="821"/>
    <w:uiPriority w:val="9"/>
    <w:qFormat/>
    <w:rPr>
      <w:rFonts w:ascii="Arial" w:hAnsi="Arial" w:eastAsia="Arial" w:cs="Arial"/>
      <w:i/>
      <w:iCs/>
      <w:sz w:val="22"/>
      <w:szCs w:val="22"/>
    </w:rPr>
  </w:style>
  <w:style w:type="character" w:styleId="892" w:customStyle="1">
    <w:name w:val="Heading 9 Char"/>
    <w:basedOn w:val="823"/>
    <w:link w:val="822"/>
    <w:uiPriority w:val="9"/>
    <w:qFormat/>
    <w:rPr>
      <w:rFonts w:ascii="Arial" w:hAnsi="Arial" w:eastAsia="Arial" w:cs="Arial"/>
      <w:i/>
      <w:iCs/>
      <w:sz w:val="21"/>
      <w:szCs w:val="21"/>
    </w:rPr>
  </w:style>
  <w:style w:type="paragraph" w:styleId="893">
    <w:name w:val="List Paragraph"/>
    <w:basedOn w:val="813"/>
    <w:uiPriority w:val="34"/>
    <w:qFormat/>
    <w:pPr>
      <w:contextualSpacing/>
      <w:ind w:left="720"/>
    </w:pPr>
  </w:style>
  <w:style w:type="paragraph" w:styleId="894">
    <w:name w:val="No Spacing"/>
    <w:uiPriority w:val="1"/>
    <w:qFormat/>
    <w:pPr>
      <w:spacing w:before="0" w:after="0" w:line="240" w:lineRule="auto"/>
    </w:pPr>
    <w:rPr>
      <w:rFonts w:hint="default" w:asciiTheme="minorHAnsi" w:hAnsiTheme="minorHAnsi" w:eastAsiaTheme="minorEastAsia" w:cstheme="minorBidi"/>
    </w:rPr>
  </w:style>
  <w:style w:type="character" w:styleId="895" w:customStyle="1">
    <w:name w:val="Title Char"/>
    <w:basedOn w:val="823"/>
    <w:link w:val="859"/>
    <w:uiPriority w:val="10"/>
    <w:qFormat/>
    <w:rPr>
      <w:sz w:val="48"/>
      <w:szCs w:val="48"/>
    </w:rPr>
  </w:style>
  <w:style w:type="character" w:styleId="896" w:customStyle="1">
    <w:name w:val="Subtitle Char"/>
    <w:basedOn w:val="823"/>
    <w:link w:val="851"/>
    <w:uiPriority w:val="11"/>
    <w:qFormat/>
    <w:rPr>
      <w:sz w:val="24"/>
      <w:szCs w:val="24"/>
    </w:rPr>
  </w:style>
  <w:style w:type="paragraph" w:styleId="897">
    <w:name w:val="Quote"/>
    <w:basedOn w:val="813"/>
    <w:next w:val="813"/>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13"/>
    <w:next w:val="813"/>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basedOn w:val="823"/>
    <w:uiPriority w:val="99"/>
    <w:qFormat/>
  </w:style>
  <w:style w:type="character" w:styleId="902" w:customStyle="1">
    <w:name w:val="Footer Char"/>
    <w:basedOn w:val="823"/>
    <w:uiPriority w:val="99"/>
    <w:qFormat/>
  </w:style>
  <w:style w:type="character" w:styleId="903" w:customStyle="1">
    <w:name w:val="Caption Char"/>
    <w:uiPriority w:val="99"/>
    <w:qFormat/>
  </w:style>
  <w:style w:type="table" w:styleId="904"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3"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4"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5"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6"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7"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8"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0"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1"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2"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3"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4"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5"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9"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1"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8"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9"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0"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1"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2"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3"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5"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0"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2"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3"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4"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5"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6"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7"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6"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7"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8"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9"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0"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1"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0"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4"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7"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8"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9"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0"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1"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2"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4"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5"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6"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7"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8"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9" w:customStyle="1">
    <w:name w:val="Footnote Text Char"/>
    <w:link w:val="852"/>
    <w:uiPriority w:val="99"/>
    <w:qFormat/>
    <w:rPr>
      <w:sz w:val="18"/>
    </w:rPr>
  </w:style>
  <w:style w:type="character" w:styleId="1030" w:customStyle="1">
    <w:name w:val="Endnote Text Char"/>
    <w:link w:val="846"/>
    <w:uiPriority w:val="99"/>
    <w:qFormat/>
    <w:rPr>
      <w:sz w:val="20"/>
    </w:rPr>
  </w:style>
  <w:style w:type="paragraph" w:styleId="1031" w:customStyle="1">
    <w:name w:val="TOC Heading"/>
    <w:uiPriority w:val="39"/>
    <w:unhideWhenUsed/>
    <w:qFormat/>
    <w:rPr>
      <w:rFonts w:hint="default" w:asciiTheme="minorHAnsi" w:hAnsiTheme="minorHAnsi" w:eastAsiaTheme="minorEastAsia" w:cstheme="minorBidi"/>
    </w:rPr>
  </w:style>
  <w:style w:type="paragraph" w:styleId="1032" w:customStyle="1">
    <w:name w:val="正文首行缩进 21"/>
    <w:basedOn w:val="832"/>
    <w:next w:val="831"/>
    <w:uiPriority w:val="0"/>
    <w:qFormat/>
    <w:pPr>
      <w:ind w:firstLine="420"/>
    </w:pPr>
  </w:style>
  <w:style w:type="paragraph" w:styleId="1033" w:customStyle="1">
    <w:name w:val="WPSOffice手动目录 1"/>
    <w:uiPriority w:val="0"/>
    <w:qFormat/>
    <w:rPr>
      <w:rFonts w:hint="default" w:ascii="Times New Roman" w:hAnsi="Times New Roman" w:eastAsia="宋体" w:cs="Times New Roman"/>
      <w:sz w:val="20"/>
      <w:szCs w:val="20"/>
    </w:rPr>
  </w:style>
  <w:style w:type="character" w:styleId="1034" w:customStyle="1">
    <w:name w:val="NormalCharacter"/>
    <w:link w:val="813"/>
    <w:uiPriority w:val="0"/>
    <w:semiHidden/>
    <w:qFormat/>
    <w:rPr>
      <w:rFonts w:hint="default" w:ascii="Times New Roman" w:hAnsi="Times New Roman" w:eastAsia="宋体" w:cs="Times New Roman"/>
      <w:sz w:val="21"/>
      <w:szCs w:val="24"/>
      <w:lang w:val="en-US" w:eastAsia="zh-CN" w:bidi="ar-SA"/>
    </w:rPr>
  </w:style>
  <w:style w:type="paragraph" w:styleId="1035" w:customStyle="1">
    <w:name w:val="文本块111"/>
    <w:basedOn w:val="813"/>
    <w:uiPriority w:val="99"/>
    <w:unhideWhenUsed/>
    <w:qFormat/>
    <w:pPr>
      <w:ind w:left="1440" w:right="1440"/>
      <w:spacing w:after="120"/>
    </w:pPr>
  </w:style>
  <w:style w:type="paragraph" w:styleId="103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7" w:customStyle="1">
    <w:name w:val="信息标题1"/>
    <w:basedOn w:val="813"/>
    <w:next w:val="103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38" w:customStyle="1">
    <w:name w:val="正文文本12"/>
    <w:basedOn w:val="813"/>
    <w:next w:val="813"/>
    <w:uiPriority w:val="99"/>
    <w:qFormat/>
    <w:pPr>
      <w:spacing w:after="120"/>
    </w:pPr>
  </w:style>
  <w:style w:type="paragraph" w:styleId="1039" w:customStyle="1">
    <w:name w:val="寄信人地址11"/>
    <w:basedOn w:val="869"/>
    <w:uiPriority w:val="0"/>
    <w:qFormat/>
    <w:rPr>
      <w:rFonts w:ascii="Arial" w:hAnsi="Arial"/>
    </w:rPr>
  </w:style>
  <w:style w:type="character" w:styleId="1040" w:customStyle="1">
    <w:name w:val="NormalCharacter1"/>
    <w:link w:val="813"/>
    <w:uiPriority w:val="0"/>
    <w:semiHidden/>
    <w:qFormat/>
    <w:rPr>
      <w:rFonts w:ascii="Times New Roman" w:hAnsi="Times New Roman" w:eastAsia="宋体" w:cs="Times New Roman"/>
      <w:sz w:val="21"/>
      <w:szCs w:val="24"/>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16</cp:revision>
  <dcterms:created xsi:type="dcterms:W3CDTF">2023-07-07T07:59:00Z</dcterms:created>
  <dcterms:modified xsi:type="dcterms:W3CDTF">2026-06-01T02:55:46Z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eyJoZGlkIjoiYTE1YTIzMmQxZjZkZjVkODA1MjU5N2IwNDVlZGUwMTUiLCJ1c2VySWQiOiIxMTI0NDc5MzIxIn0=</vt:lpwstr>
  </property>
</Properties>
</file>